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18" w:type="pct"/>
        <w:tblInd w:w="-34" w:type="dxa"/>
        <w:tblLayout w:type="fixed"/>
        <w:tblLook w:val="0600"/>
      </w:tblPr>
      <w:tblGrid>
        <w:gridCol w:w="10064"/>
      </w:tblGrid>
      <w:tr w:rsidR="00CB06A9" w:rsidRPr="00003D4B" w:rsidTr="00003D4B">
        <w:trPr>
          <w:trHeight w:val="662"/>
        </w:trPr>
        <w:tc>
          <w:tcPr>
            <w:tcW w:w="5000" w:type="pct"/>
            <w:shd w:val="clear" w:color="auto" w:fill="8DB3E2" w:themeFill="text2" w:themeFillTint="66"/>
            <w:vAlign w:val="center"/>
          </w:tcPr>
          <w:p w:rsidR="00003D4B" w:rsidRPr="00E722FA" w:rsidRDefault="00003D4B" w:rsidP="00003D4B">
            <w:pPr>
              <w:shd w:val="clear" w:color="auto" w:fill="8DB3E2" w:themeFill="text2" w:themeFillTint="66"/>
              <w:autoSpaceDE w:val="0"/>
              <w:autoSpaceDN w:val="0"/>
              <w:adjustRightInd w:val="0"/>
              <w:rPr>
                <w:rFonts w:ascii="Arial Narrow" w:hAnsi="Arial Narrow" w:cs="TTE1F67328t00"/>
                <w:color w:val="FFFFFF" w:themeColor="background1"/>
                <w:sz w:val="42"/>
                <w:szCs w:val="42"/>
              </w:rPr>
            </w:pPr>
            <w:r w:rsidRPr="00003D4B">
              <w:rPr>
                <w:rFonts w:ascii="Arial Narrow" w:hAnsi="Arial Narrow"/>
                <w:color w:val="000000" w:themeColor="text1"/>
              </w:rPr>
              <w:t xml:space="preserve"> </w:t>
            </w:r>
            <w:r w:rsidRPr="00E722FA">
              <w:rPr>
                <w:rFonts w:ascii="Arial Narrow" w:hAnsi="Arial Narrow" w:cs="TTE1F67328t00"/>
                <w:color w:val="FFFFFF" w:themeColor="background1"/>
                <w:sz w:val="52"/>
                <w:szCs w:val="52"/>
              </w:rPr>
              <w:t>R</w:t>
            </w:r>
            <w:r w:rsidRPr="00E722FA">
              <w:rPr>
                <w:rFonts w:ascii="Arial Narrow" w:hAnsi="Arial Narrow" w:cs="TTE1F67328t00"/>
                <w:color w:val="FFFFFF" w:themeColor="background1"/>
                <w:sz w:val="42"/>
                <w:szCs w:val="42"/>
              </w:rPr>
              <w:t>ECHTSINFORMATION</w:t>
            </w:r>
          </w:p>
          <w:p w:rsidR="00CB06A9" w:rsidRPr="00003D4B" w:rsidRDefault="00003D4B" w:rsidP="00003D4B">
            <w:pPr>
              <w:shd w:val="clear" w:color="auto" w:fill="8DB3E2" w:themeFill="text2" w:themeFillTint="66"/>
              <w:autoSpaceDE w:val="0"/>
              <w:autoSpaceDN w:val="0"/>
              <w:adjustRightInd w:val="0"/>
              <w:rPr>
                <w:rFonts w:ascii="Arial Narrow" w:hAnsi="Arial Narrow"/>
                <w:color w:val="000000" w:themeColor="text1"/>
                <w:sz w:val="22"/>
                <w:szCs w:val="22"/>
              </w:rPr>
            </w:pPr>
            <w:r w:rsidRPr="00E722FA">
              <w:rPr>
                <w:rFonts w:ascii="Arial Narrow" w:hAnsi="Arial Narrow" w:cs="TTE1F67328t00"/>
                <w:color w:val="FFFFFF" w:themeColor="background1"/>
                <w:sz w:val="28"/>
                <w:szCs w:val="28"/>
              </w:rPr>
              <w:t>D</w:t>
            </w:r>
            <w:r w:rsidRPr="00E722FA">
              <w:rPr>
                <w:rFonts w:ascii="Arial Narrow" w:hAnsi="Arial Narrow" w:cs="TTE1F67328t00"/>
                <w:color w:val="FFFFFF" w:themeColor="background1"/>
              </w:rPr>
              <w:t xml:space="preserve">IE </w:t>
            </w:r>
            <w:r w:rsidRPr="00E722FA">
              <w:rPr>
                <w:rFonts w:ascii="Arial Narrow" w:hAnsi="Arial Narrow" w:cs="TTE1F67328t00"/>
                <w:color w:val="FFFFFF" w:themeColor="background1"/>
                <w:sz w:val="28"/>
                <w:szCs w:val="28"/>
              </w:rPr>
              <w:t>H</w:t>
            </w:r>
            <w:r w:rsidRPr="00E722FA">
              <w:rPr>
                <w:rFonts w:ascii="Arial Narrow" w:hAnsi="Arial Narrow" w:cs="TTE1F67328t00"/>
                <w:color w:val="FFFFFF" w:themeColor="background1"/>
              </w:rPr>
              <w:t xml:space="preserve">AFTUNG VON  </w:t>
            </w:r>
            <w:r w:rsidRPr="00E722FA">
              <w:rPr>
                <w:rFonts w:ascii="Arial Narrow" w:hAnsi="Arial Narrow" w:cs="TTE1F67328t00"/>
                <w:color w:val="FFFFFF" w:themeColor="background1"/>
                <w:sz w:val="28"/>
                <w:szCs w:val="28"/>
              </w:rPr>
              <w:t>B</w:t>
            </w:r>
            <w:r w:rsidRPr="00E722FA">
              <w:rPr>
                <w:rFonts w:ascii="Arial Narrow" w:hAnsi="Arial Narrow" w:cs="TTE1F67328t00"/>
                <w:color w:val="FFFFFF" w:themeColor="background1"/>
              </w:rPr>
              <w:t xml:space="preserve">EIRÄTEN VON </w:t>
            </w:r>
            <w:r w:rsidRPr="00E722FA">
              <w:rPr>
                <w:rFonts w:ascii="Arial Narrow" w:hAnsi="Arial Narrow" w:cs="TTE1F67328t00"/>
                <w:color w:val="FFFFFF" w:themeColor="background1"/>
                <w:sz w:val="28"/>
                <w:szCs w:val="28"/>
              </w:rPr>
              <w:t>F</w:t>
            </w:r>
            <w:r w:rsidRPr="00E722FA">
              <w:rPr>
                <w:rFonts w:ascii="Arial Narrow" w:hAnsi="Arial Narrow" w:cs="TTE1F67328t00"/>
                <w:color w:val="FFFFFF" w:themeColor="background1"/>
              </w:rPr>
              <w:t xml:space="preserve">ONDS IN DER </w:t>
            </w:r>
            <w:r w:rsidRPr="00E722FA">
              <w:rPr>
                <w:rFonts w:ascii="Arial Narrow" w:hAnsi="Arial Narrow" w:cs="TTE1F67328t00"/>
                <w:color w:val="FFFFFF" w:themeColor="background1"/>
                <w:sz w:val="28"/>
                <w:szCs w:val="28"/>
              </w:rPr>
              <w:t>F</w:t>
            </w:r>
            <w:r w:rsidRPr="00E722FA">
              <w:rPr>
                <w:rFonts w:ascii="Arial Narrow" w:hAnsi="Arial Narrow" w:cs="TTE1F67328t00"/>
                <w:color w:val="FFFFFF" w:themeColor="background1"/>
              </w:rPr>
              <w:t xml:space="preserve">ORM EINER </w:t>
            </w:r>
            <w:r w:rsidRPr="00E722FA">
              <w:rPr>
                <w:rFonts w:ascii="Arial Narrow" w:hAnsi="Arial Narrow" w:cs="TTE1F67328t00"/>
                <w:color w:val="FFFFFF" w:themeColor="background1"/>
                <w:sz w:val="28"/>
                <w:szCs w:val="28"/>
              </w:rPr>
              <w:t>KG</w:t>
            </w:r>
          </w:p>
        </w:tc>
      </w:tr>
      <w:tr w:rsidR="0054442E" w:rsidRPr="00C62734" w:rsidTr="00003D4B">
        <w:trPr>
          <w:trHeight w:val="195"/>
        </w:trPr>
        <w:tc>
          <w:tcPr>
            <w:tcW w:w="5000" w:type="pct"/>
            <w:shd w:val="clear" w:color="auto" w:fill="C6D9F1" w:themeFill="text2" w:themeFillTint="33"/>
            <w:vAlign w:val="center"/>
          </w:tcPr>
          <w:p w:rsidR="0054442E" w:rsidRPr="002C35C9" w:rsidRDefault="0054442E" w:rsidP="002911FA">
            <w:pPr>
              <w:ind w:right="-37"/>
              <w:rPr>
                <w:rFonts w:ascii="Arial Narrow" w:hAnsi="Arial Narrow"/>
                <w:bCs/>
              </w:rPr>
            </w:pPr>
          </w:p>
        </w:tc>
      </w:tr>
      <w:tr w:rsidR="00003D4B" w:rsidRPr="0054442E" w:rsidTr="00003D4B">
        <w:trPr>
          <w:trHeight w:val="195"/>
        </w:trPr>
        <w:tc>
          <w:tcPr>
            <w:tcW w:w="5000" w:type="pct"/>
            <w:shd w:val="clear" w:color="auto" w:fill="DBE5F1" w:themeFill="accent1" w:themeFillTint="33"/>
            <w:vAlign w:val="center"/>
          </w:tcPr>
          <w:p w:rsidR="00003D4B" w:rsidRPr="00003D4B" w:rsidRDefault="00003D4B" w:rsidP="00003D4B">
            <w:pPr>
              <w:tabs>
                <w:tab w:val="right" w:pos="9072"/>
              </w:tabs>
              <w:rPr>
                <w:rFonts w:ascii="Arial Narrow" w:hAnsi="Arial Narrow"/>
                <w:smallCaps/>
                <w:sz w:val="22"/>
                <w:szCs w:val="22"/>
                <w:lang w:val="en-US"/>
              </w:rPr>
            </w:pPr>
            <w:r w:rsidRPr="00003D4B">
              <w:rPr>
                <w:rFonts w:ascii="Arial Narrow" w:hAnsi="Arial Narrow" w:cs="TTE1F54F90t00"/>
                <w:smallCaps/>
                <w:color w:val="000000"/>
                <w:sz w:val="22"/>
                <w:szCs w:val="22"/>
              </w:rPr>
              <w:t>Haftung</w:t>
            </w:r>
          </w:p>
        </w:tc>
      </w:tr>
      <w:tr w:rsidR="00003D4B" w:rsidRPr="00003D4B" w:rsidTr="00003D4B">
        <w:trPr>
          <w:trHeight w:val="195"/>
        </w:trPr>
        <w:tc>
          <w:tcPr>
            <w:tcW w:w="5000" w:type="pct"/>
            <w:shd w:val="clear" w:color="auto" w:fill="FFFFFF" w:themeFill="background1"/>
            <w:vAlign w:val="center"/>
          </w:tcPr>
          <w:p w:rsidR="00003D4B" w:rsidRPr="00003D4B" w:rsidRDefault="00003D4B" w:rsidP="00003D4B">
            <w:pPr>
              <w:shd w:val="clear" w:color="auto" w:fill="FFFFFF" w:themeFill="background1"/>
              <w:autoSpaceDE w:val="0"/>
              <w:autoSpaceDN w:val="0"/>
              <w:adjustRightInd w:val="0"/>
              <w:spacing w:before="120"/>
              <w:rPr>
                <w:rFonts w:ascii="Arial Narrow" w:hAnsi="Arial Narrow" w:cs="TTE1EB4B68t00"/>
                <w:color w:val="000000"/>
                <w:sz w:val="22"/>
                <w:szCs w:val="22"/>
              </w:rPr>
            </w:pPr>
            <w:r w:rsidRPr="00003D4B">
              <w:rPr>
                <w:rFonts w:ascii="Arial Narrow" w:hAnsi="Arial Narrow"/>
                <w:sz w:val="22"/>
                <w:szCs w:val="22"/>
              </w:rPr>
              <w:t xml:space="preserve"> </w:t>
            </w:r>
            <w:r w:rsidRPr="00003D4B">
              <w:rPr>
                <w:rFonts w:ascii="Arial Narrow" w:hAnsi="Arial Narrow" w:cs="TTE1EB4B68t00"/>
                <w:color w:val="000000"/>
                <w:sz w:val="22"/>
                <w:szCs w:val="22"/>
              </w:rPr>
              <w:t xml:space="preserve">Der BGH stellt in BGH WM 83/472, wie mehrfach zuvor, fest, </w:t>
            </w:r>
            <w:proofErr w:type="spellStart"/>
            <w:r w:rsidRPr="00003D4B">
              <w:rPr>
                <w:rFonts w:ascii="Arial Narrow" w:hAnsi="Arial Narrow" w:cs="TTE1EB4B68t00"/>
                <w:color w:val="000000"/>
                <w:sz w:val="22"/>
                <w:szCs w:val="22"/>
              </w:rPr>
              <w:t>daß</w:t>
            </w:r>
            <w:proofErr w:type="spellEnd"/>
            <w:r w:rsidRPr="00003D4B">
              <w:rPr>
                <w:rFonts w:ascii="Arial Narrow" w:hAnsi="Arial Narrow" w:cs="TTE1EB4B68t00"/>
                <w:color w:val="000000"/>
                <w:sz w:val="22"/>
                <w:szCs w:val="22"/>
              </w:rPr>
              <w:t xml:space="preserve"> ein Beirat, dem gesellschaftsvertraglich Überwachungsaufgaben bezüglich der Geschäftsführung ähnlich bei der GmbH/AG zugewiesen werden, analog der AG haften </w:t>
            </w:r>
            <w:proofErr w:type="spellStart"/>
            <w:r w:rsidRPr="00003D4B">
              <w:rPr>
                <w:rFonts w:ascii="Arial Narrow" w:hAnsi="Arial Narrow" w:cs="TTE1EB4B68t00"/>
                <w:color w:val="000000"/>
                <w:sz w:val="22"/>
                <w:szCs w:val="22"/>
              </w:rPr>
              <w:t>muß</w:t>
            </w:r>
            <w:proofErr w:type="spellEnd"/>
            <w:r w:rsidRPr="00003D4B">
              <w:rPr>
                <w:rFonts w:ascii="Arial Narrow" w:hAnsi="Arial Narrow" w:cs="TTE1EB4B68t00"/>
                <w:color w:val="000000"/>
                <w:sz w:val="22"/>
                <w:szCs w:val="22"/>
              </w:rPr>
              <w:t xml:space="preserve"> (u.a. BGH WM 84, 1640f / BGH WM 77/ 1221).</w:t>
            </w:r>
          </w:p>
          <w:p w:rsidR="00003D4B" w:rsidRDefault="00003D4B" w:rsidP="00003D4B">
            <w:pPr>
              <w:shd w:val="clear" w:color="auto" w:fill="FFFFFF" w:themeFill="background1"/>
              <w:autoSpaceDE w:val="0"/>
              <w:autoSpaceDN w:val="0"/>
              <w:adjustRightInd w:val="0"/>
              <w:rPr>
                <w:rFonts w:ascii="Arial Narrow" w:hAnsi="Arial Narrow" w:cs="TTE1EB4B68t00"/>
                <w:color w:val="000000"/>
                <w:sz w:val="22"/>
                <w:szCs w:val="22"/>
              </w:rPr>
            </w:pPr>
          </w:p>
          <w:p w:rsidR="00003D4B" w:rsidRDefault="00003D4B" w:rsidP="00003D4B">
            <w:pPr>
              <w:shd w:val="clear" w:color="auto" w:fill="FFFFFF" w:themeFill="background1"/>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Hierfür spricht</w:t>
            </w:r>
          </w:p>
          <w:p w:rsidR="00003D4B" w:rsidRPr="00003D4B" w:rsidRDefault="00003D4B" w:rsidP="00003D4B">
            <w:pPr>
              <w:shd w:val="clear" w:color="auto" w:fill="FFFFFF" w:themeFill="background1"/>
              <w:autoSpaceDE w:val="0"/>
              <w:autoSpaceDN w:val="0"/>
              <w:adjustRightInd w:val="0"/>
              <w:rPr>
                <w:rFonts w:ascii="Arial Narrow" w:hAnsi="Arial Narrow" w:cs="TTE1EB4B68t00"/>
                <w:color w:val="000000"/>
                <w:sz w:val="22"/>
                <w:szCs w:val="22"/>
              </w:rPr>
            </w:pPr>
          </w:p>
          <w:p w:rsidR="00003D4B" w:rsidRPr="00003D4B" w:rsidRDefault="00003D4B" w:rsidP="00003D4B">
            <w:pPr>
              <w:pStyle w:val="Listenabsatz"/>
              <w:numPr>
                <w:ilvl w:val="0"/>
                <w:numId w:val="2"/>
              </w:numPr>
              <w:shd w:val="clear" w:color="auto" w:fill="FFFFFF" w:themeFill="background1"/>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das Bedürfnis der sachgerechten Sicherstellung gegen die Gefahren, welche regelmäßig der Beitritt zu einer</w:t>
            </w:r>
          </w:p>
          <w:p w:rsidR="00003D4B" w:rsidRPr="00003D4B" w:rsidRDefault="00003D4B" w:rsidP="00003D4B">
            <w:pPr>
              <w:pStyle w:val="Listenabsatz"/>
              <w:shd w:val="clear" w:color="auto" w:fill="FFFFFF" w:themeFill="background1"/>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Publikumskommanditgesellschaft mitbringt,</w:t>
            </w:r>
          </w:p>
          <w:p w:rsidR="00003D4B" w:rsidRPr="00003D4B" w:rsidRDefault="00003D4B" w:rsidP="00003D4B">
            <w:pPr>
              <w:pStyle w:val="Listenabsatz"/>
              <w:numPr>
                <w:ilvl w:val="0"/>
                <w:numId w:val="2"/>
              </w:numPr>
              <w:shd w:val="clear" w:color="auto" w:fill="FFFFFF" w:themeFill="background1"/>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das analoge Bedürfnis zur Kontrolle und Überwachung des Geschäftsgangs und</w:t>
            </w:r>
          </w:p>
          <w:p w:rsidR="00003D4B" w:rsidRPr="00003D4B" w:rsidRDefault="00003D4B" w:rsidP="00003D4B">
            <w:pPr>
              <w:pStyle w:val="Listenabsatz"/>
              <w:numPr>
                <w:ilvl w:val="0"/>
                <w:numId w:val="2"/>
              </w:numPr>
              <w:shd w:val="clear" w:color="auto" w:fill="FFFFFF" w:themeFill="background1"/>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auch die zur AG vergleichbare Interessenlage.</w:t>
            </w:r>
          </w:p>
          <w:p w:rsidR="00003D4B" w:rsidRDefault="00003D4B" w:rsidP="00003D4B">
            <w:pPr>
              <w:shd w:val="clear" w:color="auto" w:fill="FFFFFF" w:themeFill="background1"/>
              <w:autoSpaceDE w:val="0"/>
              <w:autoSpaceDN w:val="0"/>
              <w:adjustRightInd w:val="0"/>
              <w:rPr>
                <w:rFonts w:ascii="Arial Narrow" w:hAnsi="Arial Narrow" w:cs="TTE1EB4B68t00"/>
                <w:color w:val="000000"/>
                <w:sz w:val="22"/>
                <w:szCs w:val="22"/>
              </w:rPr>
            </w:pPr>
          </w:p>
          <w:p w:rsidR="00003D4B" w:rsidRPr="00003D4B" w:rsidRDefault="00003D4B" w:rsidP="00003D4B">
            <w:pPr>
              <w:spacing w:after="120"/>
              <w:rPr>
                <w:rFonts w:ascii="Arial Narrow" w:hAnsi="Arial Narrow"/>
                <w:bCs/>
                <w:sz w:val="22"/>
                <w:szCs w:val="22"/>
              </w:rPr>
            </w:pPr>
            <w:r w:rsidRPr="00003D4B">
              <w:rPr>
                <w:rFonts w:ascii="Arial Narrow" w:hAnsi="Arial Narrow"/>
                <w:sz w:val="22"/>
                <w:szCs w:val="22"/>
              </w:rPr>
              <w:t xml:space="preserve">Nach dem Gesetz müssen Aufsichtsräte (und damit wohl in Zukunft auch Beiräte) Risikomanagementsysteme einführen und diese überwachen. Dafür können Prüfungsausschüsse eingerichtet werden. Die Aufsichtsorgane  sollen das Recht bekommen die interne Revision an der Geschäftsleitung vorbei zu kontaktieren. Zudem sollen die Informationsrechte neu geregelt werden.  </w:t>
            </w:r>
          </w:p>
        </w:tc>
      </w:tr>
      <w:tr w:rsidR="00003D4B" w:rsidRPr="0054442E" w:rsidTr="00003D4B">
        <w:trPr>
          <w:trHeight w:val="195"/>
        </w:trPr>
        <w:tc>
          <w:tcPr>
            <w:tcW w:w="5000" w:type="pct"/>
            <w:shd w:val="clear" w:color="auto" w:fill="DBE5F1" w:themeFill="accent1" w:themeFillTint="33"/>
            <w:vAlign w:val="center"/>
          </w:tcPr>
          <w:p w:rsidR="00003D4B" w:rsidRPr="00003D4B" w:rsidRDefault="00003D4B" w:rsidP="00003D4B">
            <w:pPr>
              <w:rPr>
                <w:rFonts w:ascii="Arial Narrow" w:hAnsi="Arial Narrow"/>
                <w:smallCaps/>
                <w:sz w:val="22"/>
                <w:szCs w:val="22"/>
              </w:rPr>
            </w:pPr>
            <w:r w:rsidRPr="00003D4B">
              <w:rPr>
                <w:rFonts w:ascii="Arial Narrow" w:hAnsi="Arial Narrow"/>
                <w:smallCaps/>
                <w:sz w:val="22"/>
                <w:szCs w:val="22"/>
              </w:rPr>
              <w:t>Haftungs</w:t>
            </w:r>
            <w:r>
              <w:rPr>
                <w:rFonts w:ascii="Arial Narrow" w:hAnsi="Arial Narrow"/>
                <w:smallCaps/>
                <w:sz w:val="22"/>
                <w:szCs w:val="22"/>
              </w:rPr>
              <w:t>beschränkung</w:t>
            </w:r>
          </w:p>
        </w:tc>
      </w:tr>
      <w:tr w:rsidR="00003D4B" w:rsidRPr="00003D4B" w:rsidTr="00003D4B">
        <w:trPr>
          <w:trHeight w:val="195"/>
        </w:trPr>
        <w:tc>
          <w:tcPr>
            <w:tcW w:w="5000" w:type="pct"/>
            <w:shd w:val="clear" w:color="auto" w:fill="FFFFFF" w:themeFill="background1"/>
            <w:vAlign w:val="center"/>
          </w:tcPr>
          <w:p w:rsidR="00003D4B" w:rsidRPr="00003D4B" w:rsidRDefault="00003D4B" w:rsidP="00003D4B">
            <w:pPr>
              <w:autoSpaceDE w:val="0"/>
              <w:autoSpaceDN w:val="0"/>
              <w:adjustRightInd w:val="0"/>
              <w:spacing w:before="120" w:after="120"/>
              <w:rPr>
                <w:rFonts w:ascii="Arial Narrow" w:hAnsi="Arial Narrow"/>
                <w:bCs/>
                <w:sz w:val="22"/>
                <w:szCs w:val="22"/>
              </w:rPr>
            </w:pPr>
            <w:r w:rsidRPr="00003D4B">
              <w:rPr>
                <w:rFonts w:ascii="Arial Narrow" w:hAnsi="Arial Narrow" w:cs="TTE1EB4B68t00"/>
                <w:color w:val="000000"/>
                <w:sz w:val="22"/>
                <w:szCs w:val="22"/>
              </w:rPr>
              <w:t>Die Haftungsbeschränkung nach § 708 BGB (Haftung nur für die in eigenen Angelegenheiten aufgewandte</w:t>
            </w:r>
            <w:r>
              <w:rPr>
                <w:rFonts w:ascii="Arial Narrow" w:hAnsi="Arial Narrow" w:cs="TTE1EB4B68t00"/>
                <w:color w:val="000000"/>
                <w:sz w:val="22"/>
                <w:szCs w:val="22"/>
              </w:rPr>
              <w:t xml:space="preserve"> </w:t>
            </w:r>
            <w:r w:rsidRPr="00003D4B">
              <w:rPr>
                <w:rFonts w:ascii="Arial Narrow" w:hAnsi="Arial Narrow" w:cs="TTE1EB4B68t00"/>
                <w:color w:val="000000"/>
                <w:sz w:val="22"/>
                <w:szCs w:val="22"/>
              </w:rPr>
              <w:t>Sorgfalt) ist nicht heranzuziehen, vielmehr der Haftungsmaßstab der § 116, 93 AktG(Haftung für jede Fahrlässigkeit).</w:t>
            </w:r>
          </w:p>
        </w:tc>
      </w:tr>
      <w:tr w:rsidR="00003D4B" w:rsidRPr="00003D4B" w:rsidTr="00003D4B">
        <w:trPr>
          <w:trHeight w:val="195"/>
        </w:trPr>
        <w:tc>
          <w:tcPr>
            <w:tcW w:w="5000" w:type="pct"/>
            <w:shd w:val="clear" w:color="auto" w:fill="DBE5F1" w:themeFill="accent1" w:themeFillTint="33"/>
            <w:vAlign w:val="center"/>
          </w:tcPr>
          <w:p w:rsidR="00003D4B" w:rsidRPr="00003D4B" w:rsidRDefault="00003D4B" w:rsidP="00003D4B">
            <w:pPr>
              <w:autoSpaceDE w:val="0"/>
              <w:autoSpaceDN w:val="0"/>
              <w:adjustRightInd w:val="0"/>
              <w:rPr>
                <w:rFonts w:ascii="Arial Narrow" w:hAnsi="Arial Narrow"/>
                <w:smallCaps/>
                <w:sz w:val="22"/>
                <w:szCs w:val="22"/>
              </w:rPr>
            </w:pPr>
            <w:r w:rsidRPr="00003D4B">
              <w:rPr>
                <w:rFonts w:ascii="Arial Narrow" w:hAnsi="Arial Narrow" w:cs="TTE1F54F90t00"/>
                <w:smallCaps/>
                <w:color w:val="000000"/>
                <w:sz w:val="22"/>
                <w:szCs w:val="22"/>
              </w:rPr>
              <w:t>Beweislast</w:t>
            </w:r>
          </w:p>
        </w:tc>
      </w:tr>
      <w:tr w:rsidR="00003D4B" w:rsidRPr="00003D4B" w:rsidTr="00003D4B">
        <w:trPr>
          <w:trHeight w:val="195"/>
        </w:trPr>
        <w:tc>
          <w:tcPr>
            <w:tcW w:w="5000" w:type="pct"/>
            <w:shd w:val="clear" w:color="auto" w:fill="FFFFFF" w:themeFill="background1"/>
            <w:vAlign w:val="center"/>
          </w:tcPr>
          <w:p w:rsidR="00003D4B" w:rsidRPr="00003D4B" w:rsidRDefault="00003D4B" w:rsidP="00003D4B">
            <w:pPr>
              <w:autoSpaceDE w:val="0"/>
              <w:autoSpaceDN w:val="0"/>
              <w:adjustRightInd w:val="0"/>
              <w:spacing w:before="120" w:after="120"/>
              <w:rPr>
                <w:rFonts w:ascii="Arial Narrow" w:hAnsi="Arial Narrow"/>
                <w:bCs/>
                <w:sz w:val="22"/>
                <w:szCs w:val="22"/>
              </w:rPr>
            </w:pPr>
            <w:r w:rsidRPr="00003D4B">
              <w:rPr>
                <w:rFonts w:ascii="Arial Narrow" w:hAnsi="Arial Narrow" w:cs="TTE1EB4B68t00"/>
                <w:color w:val="000000"/>
                <w:sz w:val="22"/>
                <w:szCs w:val="22"/>
              </w:rPr>
              <w:t>Ebenso sind die Beweislastregeln des § 93 AktG (BGH-WM 79/1425) heranzuziehen.</w:t>
            </w:r>
          </w:p>
        </w:tc>
      </w:tr>
      <w:tr w:rsidR="00003D4B" w:rsidRPr="00003D4B" w:rsidTr="00003D4B">
        <w:trPr>
          <w:trHeight w:val="195"/>
        </w:trPr>
        <w:tc>
          <w:tcPr>
            <w:tcW w:w="5000" w:type="pct"/>
            <w:shd w:val="clear" w:color="auto" w:fill="DBE5F1" w:themeFill="accent1" w:themeFillTint="33"/>
            <w:vAlign w:val="center"/>
          </w:tcPr>
          <w:p w:rsidR="00003D4B" w:rsidRPr="00003D4B" w:rsidRDefault="00003D4B" w:rsidP="00003D4B">
            <w:pPr>
              <w:autoSpaceDE w:val="0"/>
              <w:autoSpaceDN w:val="0"/>
              <w:adjustRightInd w:val="0"/>
              <w:rPr>
                <w:rFonts w:ascii="Arial Narrow" w:hAnsi="Arial Narrow" w:cs="TTE1F54F90t00"/>
                <w:smallCaps/>
                <w:color w:val="000000"/>
                <w:sz w:val="22"/>
                <w:szCs w:val="22"/>
              </w:rPr>
            </w:pPr>
            <w:r w:rsidRPr="00003D4B">
              <w:rPr>
                <w:rFonts w:ascii="Arial Narrow" w:hAnsi="Arial Narrow" w:cs="TTE1F54F90t00"/>
                <w:smallCaps/>
                <w:color w:val="000000"/>
                <w:sz w:val="22"/>
                <w:szCs w:val="22"/>
              </w:rPr>
              <w:t>Verjährung</w:t>
            </w:r>
          </w:p>
        </w:tc>
      </w:tr>
      <w:tr w:rsidR="00003D4B" w:rsidRPr="00003D4B" w:rsidTr="00003D4B">
        <w:trPr>
          <w:trHeight w:val="195"/>
        </w:trPr>
        <w:tc>
          <w:tcPr>
            <w:tcW w:w="5000" w:type="pct"/>
            <w:shd w:val="clear" w:color="auto" w:fill="FFFFFF" w:themeFill="background1"/>
            <w:vAlign w:val="center"/>
          </w:tcPr>
          <w:p w:rsidR="00003D4B" w:rsidRPr="00003D4B" w:rsidRDefault="00003D4B" w:rsidP="00003D4B">
            <w:pPr>
              <w:shd w:val="clear" w:color="auto" w:fill="FFFFFF" w:themeFill="background1"/>
              <w:autoSpaceDE w:val="0"/>
              <w:autoSpaceDN w:val="0"/>
              <w:adjustRightInd w:val="0"/>
              <w:spacing w:before="120" w:after="120"/>
              <w:rPr>
                <w:rFonts w:ascii="Arial Narrow" w:hAnsi="Arial Narrow" w:cs="TTE1EB4B68t00"/>
                <w:color w:val="000000"/>
                <w:sz w:val="22"/>
                <w:szCs w:val="22"/>
              </w:rPr>
            </w:pPr>
            <w:r w:rsidRPr="00003D4B">
              <w:rPr>
                <w:rFonts w:ascii="Arial Narrow" w:hAnsi="Arial Narrow" w:cs="TTE1EB4B68t00"/>
                <w:color w:val="000000"/>
                <w:sz w:val="22"/>
                <w:szCs w:val="22"/>
              </w:rPr>
              <w:t>Zugunsten der Beiräte wirkt hingegen die günstigere fünfjährige Verjährungsfrist, statt des Normalfalls von 30</w:t>
            </w:r>
            <w:r>
              <w:rPr>
                <w:rFonts w:ascii="Arial Narrow" w:hAnsi="Arial Narrow" w:cs="TTE1EB4B68t00"/>
                <w:color w:val="000000"/>
                <w:sz w:val="22"/>
                <w:szCs w:val="22"/>
              </w:rPr>
              <w:t xml:space="preserve"> </w:t>
            </w:r>
            <w:r w:rsidRPr="00003D4B">
              <w:rPr>
                <w:rFonts w:ascii="Arial Narrow" w:hAnsi="Arial Narrow" w:cs="TTE1EB4B68t00"/>
                <w:color w:val="000000"/>
                <w:sz w:val="22"/>
                <w:szCs w:val="22"/>
              </w:rPr>
              <w:t>Jahren.</w:t>
            </w:r>
          </w:p>
        </w:tc>
      </w:tr>
      <w:tr w:rsidR="00003D4B" w:rsidRPr="00003D4B" w:rsidTr="00003D4B">
        <w:trPr>
          <w:trHeight w:val="195"/>
        </w:trPr>
        <w:tc>
          <w:tcPr>
            <w:tcW w:w="5000" w:type="pct"/>
            <w:shd w:val="clear" w:color="auto" w:fill="DBE5F1" w:themeFill="accent1" w:themeFillTint="33"/>
            <w:vAlign w:val="center"/>
          </w:tcPr>
          <w:p w:rsidR="00003D4B" w:rsidRPr="00003D4B" w:rsidRDefault="00003D4B" w:rsidP="00003D4B">
            <w:pPr>
              <w:autoSpaceDE w:val="0"/>
              <w:autoSpaceDN w:val="0"/>
              <w:adjustRightInd w:val="0"/>
              <w:rPr>
                <w:rFonts w:ascii="Arial Narrow" w:hAnsi="Arial Narrow" w:cs="TTE1F54F90t00"/>
                <w:smallCaps/>
                <w:color w:val="000000"/>
                <w:sz w:val="22"/>
                <w:szCs w:val="22"/>
              </w:rPr>
            </w:pPr>
            <w:r w:rsidRPr="00003D4B">
              <w:rPr>
                <w:rFonts w:ascii="Arial Narrow" w:hAnsi="Arial Narrow" w:cs="TTE1F54F90t00"/>
                <w:smallCaps/>
                <w:color w:val="000000"/>
                <w:sz w:val="22"/>
                <w:szCs w:val="22"/>
              </w:rPr>
              <w:t>Versicherung</w:t>
            </w:r>
          </w:p>
        </w:tc>
      </w:tr>
      <w:tr w:rsidR="00003D4B" w:rsidRPr="00003D4B" w:rsidTr="00003D4B">
        <w:trPr>
          <w:trHeight w:val="195"/>
        </w:trPr>
        <w:tc>
          <w:tcPr>
            <w:tcW w:w="5000" w:type="pct"/>
            <w:shd w:val="clear" w:color="auto" w:fill="FFFFFF" w:themeFill="background1"/>
            <w:vAlign w:val="center"/>
          </w:tcPr>
          <w:p w:rsidR="00003D4B" w:rsidRPr="00003D4B" w:rsidRDefault="00003D4B" w:rsidP="00003D4B">
            <w:pPr>
              <w:autoSpaceDE w:val="0"/>
              <w:autoSpaceDN w:val="0"/>
              <w:adjustRightInd w:val="0"/>
              <w:spacing w:before="120" w:after="120"/>
              <w:rPr>
                <w:rFonts w:ascii="Arial Narrow" w:hAnsi="Arial Narrow" w:cs="TTE1EB4B68t00"/>
                <w:color w:val="000000"/>
                <w:sz w:val="22"/>
                <w:szCs w:val="22"/>
              </w:rPr>
            </w:pPr>
            <w:r w:rsidRPr="00003D4B">
              <w:rPr>
                <w:rFonts w:ascii="Arial Narrow" w:hAnsi="Arial Narrow" w:cs="TTE1EB4B68t00"/>
                <w:color w:val="000000"/>
                <w:sz w:val="22"/>
                <w:szCs w:val="22"/>
              </w:rPr>
              <w:t>Der Abschluss einer Haftpflichtversicherung für die Beiratsmitglieder kann rechtmäßig mehrheitlich beschlossen</w:t>
            </w:r>
            <w:r>
              <w:rPr>
                <w:rFonts w:ascii="Arial Narrow" w:hAnsi="Arial Narrow" w:cs="TTE1EB4B68t00"/>
                <w:color w:val="000000"/>
                <w:sz w:val="22"/>
                <w:szCs w:val="22"/>
              </w:rPr>
              <w:t xml:space="preserve"> </w:t>
            </w:r>
            <w:r w:rsidRPr="00003D4B">
              <w:rPr>
                <w:rFonts w:ascii="Arial Narrow" w:hAnsi="Arial Narrow" w:cs="TTE1EB4B68t00"/>
                <w:color w:val="000000"/>
                <w:sz w:val="22"/>
                <w:szCs w:val="22"/>
              </w:rPr>
              <w:t>werden, da die Maßnahme deshalb ordnungsgemäßer Verwaltung dient, da die Aussicht auf Abschluss einer</w:t>
            </w:r>
            <w:r>
              <w:rPr>
                <w:rFonts w:ascii="Arial Narrow" w:hAnsi="Arial Narrow" w:cs="TTE1EB4B68t00"/>
                <w:color w:val="000000"/>
                <w:sz w:val="22"/>
                <w:szCs w:val="22"/>
              </w:rPr>
              <w:t xml:space="preserve"> </w:t>
            </w:r>
            <w:proofErr w:type="spellStart"/>
            <w:r w:rsidRPr="00003D4B">
              <w:rPr>
                <w:rFonts w:ascii="Arial Narrow" w:hAnsi="Arial Narrow" w:cs="TTE1EB4B68t00"/>
                <w:color w:val="000000"/>
                <w:sz w:val="22"/>
                <w:szCs w:val="22"/>
              </w:rPr>
              <w:t>Beiratsversicherung</w:t>
            </w:r>
            <w:proofErr w:type="spellEnd"/>
            <w:r w:rsidRPr="00003D4B">
              <w:rPr>
                <w:rFonts w:ascii="Arial Narrow" w:hAnsi="Arial Narrow" w:cs="TTE1EB4B68t00"/>
                <w:color w:val="000000"/>
                <w:sz w:val="22"/>
                <w:szCs w:val="22"/>
              </w:rPr>
              <w:t xml:space="preserve"> die Gewähr biete, dass sich Mitglieder für das oftmals ungeliebte </w:t>
            </w:r>
            <w:proofErr w:type="spellStart"/>
            <w:r w:rsidRPr="00003D4B">
              <w:rPr>
                <w:rFonts w:ascii="Arial Narrow" w:hAnsi="Arial Narrow" w:cs="TTE1EB4B68t00"/>
                <w:color w:val="000000"/>
                <w:sz w:val="22"/>
                <w:szCs w:val="22"/>
              </w:rPr>
              <w:t>Beiratsamt</w:t>
            </w:r>
            <w:proofErr w:type="spellEnd"/>
            <w:r w:rsidRPr="00003D4B">
              <w:rPr>
                <w:rFonts w:ascii="Arial Narrow" w:hAnsi="Arial Narrow" w:cs="TTE1EB4B68t00"/>
                <w:color w:val="000000"/>
                <w:sz w:val="22"/>
                <w:szCs w:val="22"/>
              </w:rPr>
              <w:t xml:space="preserve"> gewinnen</w:t>
            </w:r>
            <w:r>
              <w:rPr>
                <w:rFonts w:ascii="Arial Narrow" w:hAnsi="Arial Narrow" w:cs="TTE1EB4B68t00"/>
                <w:color w:val="000000"/>
                <w:sz w:val="22"/>
                <w:szCs w:val="22"/>
              </w:rPr>
              <w:t xml:space="preserve"> </w:t>
            </w:r>
            <w:r w:rsidRPr="00003D4B">
              <w:rPr>
                <w:rFonts w:ascii="Arial Narrow" w:hAnsi="Arial Narrow" w:cs="TTE1EB4B68t00"/>
                <w:color w:val="000000"/>
                <w:sz w:val="22"/>
                <w:szCs w:val="22"/>
              </w:rPr>
              <w:t>ließen. Gegen die Versicherung kann nicht eingewandt werden, dass jeder sich selbst versichern müsse, wenn er dies wolle. . Kammergericht (=OLG Berlin), Bes</w:t>
            </w:r>
            <w:r>
              <w:rPr>
                <w:rFonts w:ascii="Arial Narrow" w:hAnsi="Arial Narrow" w:cs="TTE1EB4B68t00"/>
                <w:color w:val="000000"/>
                <w:sz w:val="22"/>
                <w:szCs w:val="22"/>
              </w:rPr>
              <w:t xml:space="preserve">chl. v. 19.7.2004 – 24 W 203/02. </w:t>
            </w:r>
          </w:p>
        </w:tc>
      </w:tr>
      <w:tr w:rsidR="00CB06A9" w:rsidRPr="00C62734" w:rsidTr="00003D4B">
        <w:trPr>
          <w:trHeight w:val="352"/>
        </w:trPr>
        <w:tc>
          <w:tcPr>
            <w:tcW w:w="5000" w:type="pct"/>
            <w:shd w:val="clear" w:color="auto" w:fill="DBE5F1" w:themeFill="accent1" w:themeFillTint="33"/>
            <w:vAlign w:val="center"/>
          </w:tcPr>
          <w:p w:rsidR="00CB06A9" w:rsidRPr="00003D4B" w:rsidRDefault="00003D4B" w:rsidP="00003D4B">
            <w:pPr>
              <w:autoSpaceDE w:val="0"/>
              <w:autoSpaceDN w:val="0"/>
              <w:adjustRightInd w:val="0"/>
              <w:rPr>
                <w:rFonts w:ascii="Arial Narrow" w:hAnsi="Arial Narrow"/>
                <w:smallCaps/>
                <w:color w:val="000000"/>
                <w:sz w:val="22"/>
                <w:szCs w:val="22"/>
                <w:lang w:bidi="bn-IN"/>
              </w:rPr>
            </w:pPr>
            <w:r w:rsidRPr="00003D4B">
              <w:rPr>
                <w:rFonts w:ascii="Arial Narrow" w:hAnsi="Arial Narrow" w:cs="TTE1F54F90t00"/>
                <w:smallCaps/>
                <w:color w:val="000000"/>
                <w:sz w:val="22"/>
                <w:szCs w:val="22"/>
              </w:rPr>
              <w:t>Quellen</w:t>
            </w:r>
          </w:p>
        </w:tc>
      </w:tr>
      <w:tr w:rsidR="00003D4B" w:rsidRPr="0054442E" w:rsidTr="00003D4B">
        <w:trPr>
          <w:trHeight w:val="195"/>
        </w:trPr>
        <w:tc>
          <w:tcPr>
            <w:tcW w:w="5000" w:type="pct"/>
            <w:shd w:val="clear" w:color="auto" w:fill="FFFFFF" w:themeFill="background1"/>
            <w:vAlign w:val="center"/>
          </w:tcPr>
          <w:p w:rsidR="00003D4B" w:rsidRPr="00003D4B" w:rsidRDefault="00003D4B" w:rsidP="00003D4B">
            <w:pPr>
              <w:pStyle w:val="Listenabsatz"/>
              <w:numPr>
                <w:ilvl w:val="0"/>
                <w:numId w:val="3"/>
              </w:numPr>
              <w:autoSpaceDE w:val="0"/>
              <w:autoSpaceDN w:val="0"/>
              <w:adjustRightInd w:val="0"/>
              <w:spacing w:before="120"/>
              <w:rPr>
                <w:rFonts w:ascii="Arial Narrow" w:hAnsi="Arial Narrow" w:cs="TTE1EB4B68t00"/>
                <w:color w:val="000000"/>
                <w:sz w:val="22"/>
                <w:szCs w:val="22"/>
              </w:rPr>
            </w:pPr>
            <w:proofErr w:type="spellStart"/>
            <w:r w:rsidRPr="00003D4B">
              <w:rPr>
                <w:rFonts w:ascii="Arial Narrow" w:hAnsi="Arial Narrow" w:cs="TTE1EB4B68t00"/>
                <w:color w:val="000000"/>
                <w:sz w:val="22"/>
                <w:szCs w:val="22"/>
              </w:rPr>
              <w:t>Rinze</w:t>
            </w:r>
            <w:proofErr w:type="spellEnd"/>
            <w:r w:rsidRPr="00003D4B">
              <w:rPr>
                <w:rFonts w:ascii="Arial Narrow" w:hAnsi="Arial Narrow" w:cs="TTE1EB4B68t00"/>
                <w:color w:val="000000"/>
                <w:sz w:val="22"/>
                <w:szCs w:val="22"/>
              </w:rPr>
              <w:t>, Haftung von Beiratsmitgliedern NJW 92/2790 ff</w:t>
            </w:r>
          </w:p>
          <w:p w:rsidR="00003D4B" w:rsidRPr="00003D4B" w:rsidRDefault="00003D4B" w:rsidP="00003D4B">
            <w:pPr>
              <w:pStyle w:val="Listenabsatz"/>
              <w:numPr>
                <w:ilvl w:val="0"/>
                <w:numId w:val="3"/>
              </w:numPr>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BGH WM 75, 767</w:t>
            </w:r>
          </w:p>
          <w:p w:rsidR="00003D4B" w:rsidRPr="00003D4B" w:rsidRDefault="00003D4B" w:rsidP="00003D4B">
            <w:pPr>
              <w:pStyle w:val="Listenabsatz"/>
              <w:numPr>
                <w:ilvl w:val="0"/>
                <w:numId w:val="3"/>
              </w:numPr>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BGH WM 77, 1221</w:t>
            </w:r>
          </w:p>
          <w:p w:rsidR="00003D4B" w:rsidRPr="00003D4B" w:rsidRDefault="00003D4B" w:rsidP="00003D4B">
            <w:pPr>
              <w:pStyle w:val="Listenabsatz"/>
              <w:numPr>
                <w:ilvl w:val="0"/>
                <w:numId w:val="3"/>
              </w:numPr>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BGH-WM 79/1425</w:t>
            </w:r>
          </w:p>
          <w:p w:rsidR="00003D4B" w:rsidRPr="00003D4B" w:rsidRDefault="00003D4B" w:rsidP="00003D4B">
            <w:pPr>
              <w:pStyle w:val="Listenabsatz"/>
              <w:numPr>
                <w:ilvl w:val="0"/>
                <w:numId w:val="3"/>
              </w:numPr>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BGH WM 84, 1640f</w:t>
            </w:r>
          </w:p>
          <w:p w:rsidR="00003D4B" w:rsidRPr="00003D4B" w:rsidRDefault="00003D4B" w:rsidP="00003D4B">
            <w:pPr>
              <w:pStyle w:val="Listenabsatz"/>
              <w:numPr>
                <w:ilvl w:val="0"/>
                <w:numId w:val="3"/>
              </w:numPr>
              <w:autoSpaceDE w:val="0"/>
              <w:autoSpaceDN w:val="0"/>
              <w:adjustRightInd w:val="0"/>
              <w:rPr>
                <w:rFonts w:ascii="Arial Narrow" w:hAnsi="Arial Narrow" w:cs="TTE1EB4B68t00"/>
                <w:color w:val="000000"/>
                <w:sz w:val="22"/>
                <w:szCs w:val="22"/>
              </w:rPr>
            </w:pPr>
            <w:r w:rsidRPr="00003D4B">
              <w:rPr>
                <w:rFonts w:ascii="Arial Narrow" w:hAnsi="Arial Narrow" w:cs="TTE1EB4B68t00"/>
                <w:color w:val="000000"/>
                <w:sz w:val="22"/>
                <w:szCs w:val="22"/>
              </w:rPr>
              <w:t>OLG Düsseldorf BB 84, 997 ff</w:t>
            </w:r>
          </w:p>
          <w:p w:rsidR="00003D4B" w:rsidRPr="00003D4B" w:rsidRDefault="00003D4B" w:rsidP="00003D4B">
            <w:pPr>
              <w:pStyle w:val="Listenabsatz"/>
              <w:numPr>
                <w:ilvl w:val="0"/>
                <w:numId w:val="3"/>
              </w:numPr>
              <w:autoSpaceDE w:val="0"/>
              <w:autoSpaceDN w:val="0"/>
              <w:adjustRightInd w:val="0"/>
              <w:spacing w:after="120"/>
              <w:rPr>
                <w:rFonts w:ascii="Arial Narrow" w:hAnsi="Arial Narrow" w:cs="TTE1EB4B68t00"/>
                <w:color w:val="000000"/>
                <w:sz w:val="22"/>
                <w:szCs w:val="22"/>
              </w:rPr>
            </w:pPr>
            <w:r w:rsidRPr="00003D4B">
              <w:rPr>
                <w:rFonts w:ascii="Arial Narrow" w:hAnsi="Arial Narrow" w:cs="TTE1EB4B68t00"/>
                <w:color w:val="000000"/>
                <w:sz w:val="22"/>
                <w:szCs w:val="22"/>
              </w:rPr>
              <w:t>KG, BESCHL. V. 19.7.2004 – 24 W 203/02:</w:t>
            </w:r>
          </w:p>
        </w:tc>
      </w:tr>
      <w:tr w:rsidR="00003D4B" w:rsidRPr="005E5F71" w:rsidTr="00003D4B">
        <w:trPr>
          <w:trHeight w:val="384"/>
        </w:trPr>
        <w:tc>
          <w:tcPr>
            <w:tcW w:w="5000" w:type="pct"/>
            <w:shd w:val="clear" w:color="auto" w:fill="DBE5F1" w:themeFill="accent1" w:themeFillTint="33"/>
            <w:vAlign w:val="center"/>
          </w:tcPr>
          <w:p w:rsidR="00003D4B" w:rsidRPr="00003D4B" w:rsidRDefault="00003D4B" w:rsidP="00003D4B">
            <w:pPr>
              <w:tabs>
                <w:tab w:val="left" w:pos="2355"/>
              </w:tabs>
              <w:rPr>
                <w:rFonts w:ascii="Arial Narrow" w:hAnsi="Arial Narrow"/>
                <w:bCs/>
                <w:smallCaps/>
                <w:sz w:val="22"/>
                <w:szCs w:val="22"/>
              </w:rPr>
            </w:pPr>
            <w:r w:rsidRPr="00003D4B">
              <w:rPr>
                <w:rFonts w:ascii="Arial Narrow" w:hAnsi="Arial Narrow"/>
                <w:bCs/>
                <w:smallCaps/>
                <w:sz w:val="22"/>
                <w:szCs w:val="22"/>
              </w:rPr>
              <w:t>Ansprechpartner</w:t>
            </w:r>
          </w:p>
        </w:tc>
      </w:tr>
      <w:tr w:rsidR="0054442E" w:rsidRPr="00C62734" w:rsidTr="00003D4B">
        <w:trPr>
          <w:trHeight w:val="503"/>
        </w:trPr>
        <w:tc>
          <w:tcPr>
            <w:tcW w:w="5000" w:type="pct"/>
            <w:shd w:val="clear" w:color="auto" w:fill="FFFFFF" w:themeFill="background1"/>
            <w:vAlign w:val="center"/>
          </w:tcPr>
          <w:p w:rsidR="0054442E" w:rsidRPr="00003D4B" w:rsidRDefault="00003D4B" w:rsidP="002911FA">
            <w:pPr>
              <w:tabs>
                <w:tab w:val="left" w:pos="2355"/>
              </w:tabs>
              <w:rPr>
                <w:rFonts w:ascii="Arial Narrow" w:hAnsi="Arial Narrow"/>
                <w:bCs/>
                <w:sz w:val="22"/>
                <w:szCs w:val="22"/>
              </w:rPr>
            </w:pPr>
            <w:r w:rsidRPr="00003D4B">
              <w:rPr>
                <w:rFonts w:ascii="Arial Narrow" w:hAnsi="Arial Narrow"/>
                <w:bCs/>
                <w:sz w:val="22"/>
                <w:szCs w:val="22"/>
              </w:rPr>
              <w:t>H. Schaaff Tel. 089 95444880</w:t>
            </w:r>
          </w:p>
        </w:tc>
      </w:tr>
      <w:tr w:rsidR="0054442E" w:rsidRPr="00003D4B" w:rsidTr="00003D4B">
        <w:trPr>
          <w:trHeight w:val="195"/>
        </w:trPr>
        <w:tc>
          <w:tcPr>
            <w:tcW w:w="5000" w:type="pct"/>
            <w:shd w:val="clear" w:color="auto" w:fill="DBE5F1" w:themeFill="accent1" w:themeFillTint="33"/>
            <w:vAlign w:val="center"/>
          </w:tcPr>
          <w:p w:rsidR="0054442E" w:rsidRPr="0054442E" w:rsidRDefault="0054442E" w:rsidP="0054442E">
            <w:pPr>
              <w:tabs>
                <w:tab w:val="right" w:pos="9072"/>
              </w:tabs>
              <w:rPr>
                <w:rFonts w:ascii="Arial Narrow" w:hAnsi="Arial Narrow"/>
                <w:sz w:val="22"/>
                <w:szCs w:val="22"/>
                <w:lang w:val="en-US"/>
              </w:rPr>
            </w:pPr>
          </w:p>
        </w:tc>
      </w:tr>
      <w:tr w:rsidR="0054442E" w:rsidRPr="00003D4B" w:rsidTr="00003D4B">
        <w:trPr>
          <w:trHeight w:val="195"/>
        </w:trPr>
        <w:tc>
          <w:tcPr>
            <w:tcW w:w="5000" w:type="pct"/>
            <w:shd w:val="clear" w:color="auto" w:fill="8DB3E2" w:themeFill="text2" w:themeFillTint="66"/>
            <w:vAlign w:val="center"/>
          </w:tcPr>
          <w:p w:rsidR="0054442E" w:rsidRPr="0054442E" w:rsidRDefault="0054442E" w:rsidP="00F6323D">
            <w:pPr>
              <w:tabs>
                <w:tab w:val="left" w:pos="2355"/>
              </w:tabs>
              <w:rPr>
                <w:rFonts w:ascii="Arial Narrow" w:hAnsi="Arial Narrow"/>
                <w:bCs/>
                <w:lang w:val="en-US"/>
              </w:rPr>
            </w:pPr>
            <w:r w:rsidRPr="0054442E">
              <w:rPr>
                <w:rFonts w:ascii="Arial Narrow" w:hAnsi="Arial Narrow"/>
                <w:lang w:val="en-US"/>
              </w:rPr>
              <w:t xml:space="preserve">  </w:t>
            </w:r>
          </w:p>
        </w:tc>
      </w:tr>
    </w:tbl>
    <w:p w:rsidR="008E14FB" w:rsidRPr="0054442E" w:rsidRDefault="005E5F71" w:rsidP="003D7B36">
      <w:pPr>
        <w:tabs>
          <w:tab w:val="left" w:pos="2355"/>
        </w:tabs>
        <w:rPr>
          <w:rFonts w:ascii="Arial Narrow" w:hAnsi="Arial Narrow"/>
          <w:sz w:val="22"/>
          <w:lang w:val="en-US"/>
        </w:rPr>
      </w:pPr>
      <w:r w:rsidRPr="0054442E">
        <w:rPr>
          <w:rFonts w:ascii="Arial Narrow" w:hAnsi="Arial Narrow"/>
          <w:color w:val="000000"/>
          <w:sz w:val="22"/>
          <w:lang w:val="en-US" w:bidi="bn-IN"/>
        </w:rPr>
        <w:t xml:space="preserve"> </w:t>
      </w:r>
    </w:p>
    <w:sectPr w:rsidR="008E14FB" w:rsidRPr="0054442E" w:rsidSect="001F65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4B" w:rsidRDefault="00003D4B" w:rsidP="003D7B36">
      <w:r>
        <w:separator/>
      </w:r>
    </w:p>
  </w:endnote>
  <w:endnote w:type="continuationSeparator" w:id="0">
    <w:p w:rsidR="00003D4B" w:rsidRDefault="00003D4B" w:rsidP="003D7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TE1F67328t00">
    <w:panose1 w:val="00000000000000000000"/>
    <w:charset w:val="00"/>
    <w:family w:val="auto"/>
    <w:notTrueType/>
    <w:pitch w:val="default"/>
    <w:sig w:usb0="00000003" w:usb1="00000000" w:usb2="00000000" w:usb3="00000000" w:csb0="00000001" w:csb1="00000000"/>
  </w:font>
  <w:font w:name="TTE1F54F90t00">
    <w:panose1 w:val="00000000000000000000"/>
    <w:charset w:val="00"/>
    <w:family w:val="auto"/>
    <w:notTrueType/>
    <w:pitch w:val="default"/>
    <w:sig w:usb0="00000003" w:usb1="00000000" w:usb2="00000000" w:usb3="00000000" w:csb0="00000001" w:csb1="00000000"/>
  </w:font>
  <w:font w:name="TTE1EB4B6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FA" w:rsidRDefault="00E722F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4B" w:rsidRPr="00003D4B" w:rsidRDefault="00003D4B">
    <w:pPr>
      <w:pStyle w:val="Fuzeile"/>
      <w:rPr>
        <w:sz w:val="16"/>
        <w:szCs w:val="16"/>
      </w:rPr>
    </w:pPr>
    <w:r w:rsidRPr="00003D4B">
      <w:rPr>
        <w:sz w:val="16"/>
        <w:szCs w:val="16"/>
      </w:rPr>
      <w:t xml:space="preserve">Aus rechtlichen Gründen kann für </w:t>
    </w:r>
    <w:r>
      <w:rPr>
        <w:sz w:val="16"/>
        <w:szCs w:val="16"/>
      </w:rPr>
      <w:t>obenstehende Information keine H</w:t>
    </w:r>
    <w:r w:rsidRPr="00003D4B">
      <w:rPr>
        <w:sz w:val="16"/>
        <w:szCs w:val="16"/>
      </w:rPr>
      <w:t>aftung übernommen werden.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FA" w:rsidRDefault="00E722F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4B" w:rsidRDefault="00003D4B" w:rsidP="003D7B36">
      <w:r>
        <w:separator/>
      </w:r>
    </w:p>
  </w:footnote>
  <w:footnote w:type="continuationSeparator" w:id="0">
    <w:p w:rsidR="00003D4B" w:rsidRDefault="00003D4B" w:rsidP="003D7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FA" w:rsidRDefault="00E722F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4B" w:rsidRDefault="00003D4B" w:rsidP="00261DA4">
    <w:pPr>
      <w:jc w:val="center"/>
      <w:rPr>
        <w:rFonts w:ascii="Arial" w:hAnsi="Arial" w:cs="Arial"/>
        <w:b/>
        <w:bCs/>
        <w:sz w:val="16"/>
        <w:szCs w:val="16"/>
        <w:u w:val="single"/>
      </w:rPr>
    </w:pPr>
  </w:p>
  <w:p w:rsidR="00003D4B" w:rsidRDefault="00D90197" w:rsidP="00D90197">
    <w:pPr>
      <w:tabs>
        <w:tab w:val="left" w:pos="788"/>
      </w:tabs>
      <w:rPr>
        <w:rFonts w:ascii="Arial" w:hAnsi="Arial" w:cs="Arial"/>
        <w:b/>
        <w:bCs/>
        <w:sz w:val="16"/>
        <w:szCs w:val="16"/>
        <w:u w:val="single"/>
      </w:rPr>
    </w:pPr>
    <w:r w:rsidRPr="00D90197">
      <w:rPr>
        <w:rFonts w:ascii="Arial" w:hAnsi="Arial" w:cs="Arial"/>
        <w:b/>
        <w:bCs/>
        <w:sz w:val="16"/>
        <w:szCs w:val="16"/>
      </w:rPr>
      <w:drawing>
        <wp:inline distT="0" distB="0" distL="0" distR="0">
          <wp:extent cx="621102" cy="207034"/>
          <wp:effectExtent l="19050" t="0" r="7548" b="0"/>
          <wp:docPr id="2" name="Grafik 0" descr="MACNEU2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jpg"/>
                  <pic:cNvPicPr/>
                </pic:nvPicPr>
                <pic:blipFill>
                  <a:blip r:embed="rId1"/>
                  <a:stretch>
                    <a:fillRect/>
                  </a:stretch>
                </pic:blipFill>
                <pic:spPr>
                  <a:xfrm>
                    <a:off x="0" y="0"/>
                    <a:ext cx="621110" cy="207037"/>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FA" w:rsidRDefault="00E722F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8F3"/>
    <w:multiLevelType w:val="hybridMultilevel"/>
    <w:tmpl w:val="5914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0A64DB"/>
    <w:multiLevelType w:val="hybridMultilevel"/>
    <w:tmpl w:val="F86CD4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4153490"/>
    <w:multiLevelType w:val="hybridMultilevel"/>
    <w:tmpl w:val="5EA69E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rsids>
    <w:rsidRoot w:val="003D7B36"/>
    <w:rsid w:val="00003D4B"/>
    <w:rsid w:val="000822AF"/>
    <w:rsid w:val="000E5183"/>
    <w:rsid w:val="001236F6"/>
    <w:rsid w:val="00125139"/>
    <w:rsid w:val="00146825"/>
    <w:rsid w:val="00153537"/>
    <w:rsid w:val="001A6F80"/>
    <w:rsid w:val="001F0F16"/>
    <w:rsid w:val="001F6571"/>
    <w:rsid w:val="00246654"/>
    <w:rsid w:val="00250279"/>
    <w:rsid w:val="002551C9"/>
    <w:rsid w:val="00261DA4"/>
    <w:rsid w:val="00273536"/>
    <w:rsid w:val="002766AF"/>
    <w:rsid w:val="00277B9C"/>
    <w:rsid w:val="002911FA"/>
    <w:rsid w:val="002B5E51"/>
    <w:rsid w:val="002C35C9"/>
    <w:rsid w:val="002C465E"/>
    <w:rsid w:val="002C63EC"/>
    <w:rsid w:val="00307BEC"/>
    <w:rsid w:val="00311046"/>
    <w:rsid w:val="003979BA"/>
    <w:rsid w:val="003D7B36"/>
    <w:rsid w:val="003E0C5B"/>
    <w:rsid w:val="00410DA6"/>
    <w:rsid w:val="00434E29"/>
    <w:rsid w:val="00473FEB"/>
    <w:rsid w:val="004B5C08"/>
    <w:rsid w:val="004C5AB4"/>
    <w:rsid w:val="004F4BF8"/>
    <w:rsid w:val="0054442E"/>
    <w:rsid w:val="005A13A9"/>
    <w:rsid w:val="005B72DC"/>
    <w:rsid w:val="005C0CB5"/>
    <w:rsid w:val="005E5F71"/>
    <w:rsid w:val="0061038C"/>
    <w:rsid w:val="00616956"/>
    <w:rsid w:val="006179DF"/>
    <w:rsid w:val="00622A91"/>
    <w:rsid w:val="00641104"/>
    <w:rsid w:val="00642563"/>
    <w:rsid w:val="00653E6F"/>
    <w:rsid w:val="00673C71"/>
    <w:rsid w:val="00681000"/>
    <w:rsid w:val="006F4D6F"/>
    <w:rsid w:val="0075395B"/>
    <w:rsid w:val="007A341D"/>
    <w:rsid w:val="00827595"/>
    <w:rsid w:val="008570CA"/>
    <w:rsid w:val="008D0F33"/>
    <w:rsid w:val="008D3CCC"/>
    <w:rsid w:val="008E14FB"/>
    <w:rsid w:val="008F4F1A"/>
    <w:rsid w:val="0097260F"/>
    <w:rsid w:val="00990056"/>
    <w:rsid w:val="009E4EED"/>
    <w:rsid w:val="00A22C5E"/>
    <w:rsid w:val="00A35D2A"/>
    <w:rsid w:val="00A777E6"/>
    <w:rsid w:val="00A84A7C"/>
    <w:rsid w:val="00AB1E1F"/>
    <w:rsid w:val="00AD0F9A"/>
    <w:rsid w:val="00B05A61"/>
    <w:rsid w:val="00B21F30"/>
    <w:rsid w:val="00B31230"/>
    <w:rsid w:val="00B365E1"/>
    <w:rsid w:val="00B43ABB"/>
    <w:rsid w:val="00B449FE"/>
    <w:rsid w:val="00B7331A"/>
    <w:rsid w:val="00BA31EF"/>
    <w:rsid w:val="00BA628B"/>
    <w:rsid w:val="00BB0358"/>
    <w:rsid w:val="00C20DF2"/>
    <w:rsid w:val="00C5185F"/>
    <w:rsid w:val="00C918AE"/>
    <w:rsid w:val="00CB06A9"/>
    <w:rsid w:val="00CB24E8"/>
    <w:rsid w:val="00D36A35"/>
    <w:rsid w:val="00D37D1F"/>
    <w:rsid w:val="00D64893"/>
    <w:rsid w:val="00D90197"/>
    <w:rsid w:val="00DE0756"/>
    <w:rsid w:val="00E271C2"/>
    <w:rsid w:val="00E3775D"/>
    <w:rsid w:val="00E51B6D"/>
    <w:rsid w:val="00E655CB"/>
    <w:rsid w:val="00E722FA"/>
    <w:rsid w:val="00E776E0"/>
    <w:rsid w:val="00E822C0"/>
    <w:rsid w:val="00EC50DB"/>
    <w:rsid w:val="00F37269"/>
    <w:rsid w:val="00F6323D"/>
    <w:rsid w:val="00F91A53"/>
    <w:rsid w:val="00FA189A"/>
    <w:rsid w:val="00FC09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 w:type="table" w:styleId="Tabellengitternetz">
    <w:name w:val="Table Grid"/>
    <w:basedOn w:val="NormaleTabelle"/>
    <w:uiPriority w:val="59"/>
    <w:rsid w:val="002911F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F6323D"/>
    <w:rPr>
      <w:color w:val="808080"/>
    </w:rPr>
  </w:style>
  <w:style w:type="paragraph" w:styleId="Listenabsatz">
    <w:name w:val="List Paragraph"/>
    <w:basedOn w:val="Standard"/>
    <w:uiPriority w:val="34"/>
    <w:qFormat/>
    <w:rsid w:val="00003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202788684">
      <w:bodyDiv w:val="1"/>
      <w:marLeft w:val="0"/>
      <w:marRight w:val="0"/>
      <w:marTop w:val="0"/>
      <w:marBottom w:val="0"/>
      <w:divBdr>
        <w:top w:val="none" w:sz="0" w:space="0" w:color="auto"/>
        <w:left w:val="none" w:sz="0" w:space="0" w:color="auto"/>
        <w:bottom w:val="none" w:sz="0" w:space="0" w:color="auto"/>
        <w:right w:val="none" w:sz="0" w:space="0" w:color="auto"/>
      </w:divBdr>
    </w:div>
    <w:div w:id="371662041">
      <w:bodyDiv w:val="1"/>
      <w:marLeft w:val="0"/>
      <w:marRight w:val="0"/>
      <w:marTop w:val="0"/>
      <w:marBottom w:val="0"/>
      <w:divBdr>
        <w:top w:val="none" w:sz="0" w:space="0" w:color="auto"/>
        <w:left w:val="none" w:sz="0" w:space="0" w:color="auto"/>
        <w:bottom w:val="none" w:sz="0" w:space="0" w:color="auto"/>
        <w:right w:val="none" w:sz="0" w:space="0" w:color="auto"/>
      </w:divBdr>
    </w:div>
    <w:div w:id="15726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464B-36FC-47D0-AFF0-B78F9590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Schaaff</dc:creator>
  <cp:lastModifiedBy>schaaff</cp:lastModifiedBy>
  <cp:revision>4</cp:revision>
  <cp:lastPrinted>2015-12-06T19:26:00Z</cp:lastPrinted>
  <dcterms:created xsi:type="dcterms:W3CDTF">2015-12-17T12:58:00Z</dcterms:created>
  <dcterms:modified xsi:type="dcterms:W3CDTF">2015-12-30T19:06:00Z</dcterms:modified>
</cp:coreProperties>
</file>